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rPr>
          <w:rFonts w:ascii="Calibri" w:cs="Calibri" w:eastAsia="Calibri" w:hAnsi="Calibri"/>
          <w:color w:val="8496b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8496b0"/>
          <w:sz w:val="24"/>
          <w:szCs w:val="24"/>
          <w:rtl w:val="0"/>
        </w:rPr>
        <w:t xml:space="preserve">The graphic below illustrates how an Alliance improves the financial position for a </w:t>
      </w:r>
      <w:r w:rsidDel="00000000" w:rsidR="00000000" w:rsidRPr="00000000">
        <w:rPr>
          <w:rFonts w:ascii="Calibri" w:cs="Calibri" w:eastAsia="Calibri" w:hAnsi="Calibri"/>
          <w:b w:val="1"/>
          <w:color w:val="8496b0"/>
          <w:sz w:val="24"/>
          <w:szCs w:val="24"/>
          <w:rtl w:val="0"/>
        </w:rPr>
        <w:t xml:space="preserve">child care center serving 65 children</w:t>
      </w:r>
      <w:r w:rsidDel="00000000" w:rsidR="00000000" w:rsidRPr="00000000">
        <w:rPr>
          <w:rFonts w:ascii="Calibri" w:cs="Calibri" w:eastAsia="Calibri" w:hAnsi="Calibri"/>
          <w:color w:val="8496b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3213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Calibri" w:cs="Calibri" w:eastAsia="Calibri" w:hAnsi="Calibri"/>
          <w:color w:val="8496b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8496b0"/>
          <w:sz w:val="24"/>
          <w:szCs w:val="24"/>
          <w:rtl w:val="0"/>
        </w:rPr>
        <w:t xml:space="preserve">This graphic helps illustrate how business software and back-office services improve provider sustainability: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8166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following screenshots from a Shared Service Alliance Hub clearly articulate the Value Proposition: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771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6957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1656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